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A4B" w14:textId="77777777" w:rsidR="00CA45DF" w:rsidRPr="00AA7B45" w:rsidRDefault="00327C55" w:rsidP="00CA45DF">
      <w:pPr>
        <w:spacing w:after="240" w:line="800" w:lineRule="atLeast"/>
        <w:rPr>
          <w:rFonts w:ascii="Arial" w:hAnsi="Arial" w:cs="Arial"/>
          <w:color w:val="005596"/>
          <w:sz w:val="72"/>
          <w:szCs w:val="72"/>
        </w:rPr>
      </w:pPr>
      <w:r>
        <w:rPr>
          <w:rFonts w:ascii="Arial" w:hAnsi="Arial" w:cs="Arial"/>
          <w:color w:val="005596"/>
          <w:sz w:val="72"/>
          <w:szCs w:val="72"/>
        </w:rPr>
        <w:t>Fiduciary</w:t>
      </w:r>
      <w:r w:rsidR="00582F6F">
        <w:rPr>
          <w:rFonts w:ascii="Arial" w:hAnsi="Arial" w:cs="Arial"/>
          <w:color w:val="005596"/>
          <w:sz w:val="72"/>
          <w:szCs w:val="72"/>
        </w:rPr>
        <w:t xml:space="preserve"> Liability</w:t>
      </w:r>
      <w:r w:rsidR="008F618A" w:rsidRPr="00AA7B45">
        <w:rPr>
          <w:rFonts w:ascii="Arial" w:hAnsi="Arial" w:cs="Arial"/>
          <w:color w:val="005596"/>
          <w:sz w:val="72"/>
          <w:szCs w:val="72"/>
        </w:rPr>
        <w:t xml:space="preserve"> Insurance: </w:t>
      </w:r>
      <w:r w:rsidR="00CA45DF" w:rsidRPr="00AA7B45">
        <w:rPr>
          <w:rFonts w:ascii="Arial" w:hAnsi="Arial" w:cs="Arial"/>
          <w:color w:val="005596"/>
          <w:sz w:val="72"/>
          <w:szCs w:val="72"/>
        </w:rPr>
        <w:br/>
        <w:t>M</w:t>
      </w:r>
      <w:r w:rsidR="00BC625A">
        <w:rPr>
          <w:rFonts w:ascii="Arial" w:hAnsi="Arial" w:cs="Arial"/>
          <w:color w:val="005596"/>
          <w:sz w:val="72"/>
          <w:szCs w:val="72"/>
        </w:rPr>
        <w:t>ACRO</w:t>
      </w:r>
      <w:r w:rsidR="00CA45DF" w:rsidRPr="00AA7B45">
        <w:rPr>
          <w:rFonts w:ascii="Arial" w:hAnsi="Arial" w:cs="Arial"/>
          <w:color w:val="005596"/>
          <w:sz w:val="72"/>
          <w:szCs w:val="72"/>
        </w:rPr>
        <w:t xml:space="preserve"> Policy Checklist</w:t>
      </w:r>
    </w:p>
    <w:p w14:paraId="25275046" w14:textId="3905DAF1" w:rsidR="00021E3B" w:rsidRDefault="00021E3B" w:rsidP="00EA5F9E">
      <w:pPr>
        <w:spacing w:after="240"/>
        <w:jc w:val="center"/>
        <w:rPr>
          <w:rFonts w:ascii="Arial" w:hAnsi="Arial" w:cs="Arial"/>
          <w:sz w:val="32"/>
          <w:szCs w:val="32"/>
        </w:rPr>
      </w:pPr>
      <w:r w:rsidRPr="00F70C3E">
        <w:rPr>
          <w:rFonts w:ascii="Arial" w:hAnsi="Arial" w:cs="Arial"/>
          <w:sz w:val="32"/>
          <w:szCs w:val="32"/>
        </w:rPr>
        <w:t xml:space="preserve">(These </w:t>
      </w:r>
      <w:r w:rsidR="00F70C3E" w:rsidRPr="00F70C3E">
        <w:rPr>
          <w:rFonts w:ascii="Arial" w:hAnsi="Arial" w:cs="Arial"/>
          <w:sz w:val="32"/>
          <w:szCs w:val="32"/>
        </w:rPr>
        <w:t>a</w:t>
      </w:r>
      <w:r w:rsidRPr="00F70C3E">
        <w:rPr>
          <w:rFonts w:ascii="Arial" w:hAnsi="Arial" w:cs="Arial"/>
          <w:sz w:val="32"/>
          <w:szCs w:val="32"/>
        </w:rPr>
        <w:t xml:space="preserve">re the </w:t>
      </w:r>
      <w:r w:rsidR="00F70C3E" w:rsidRPr="00F70C3E">
        <w:rPr>
          <w:rFonts w:ascii="Arial" w:hAnsi="Arial" w:cs="Arial"/>
          <w:sz w:val="32"/>
          <w:szCs w:val="32"/>
        </w:rPr>
        <w:t>m</w:t>
      </w:r>
      <w:r w:rsidRPr="00F70C3E">
        <w:rPr>
          <w:rFonts w:ascii="Arial" w:hAnsi="Arial" w:cs="Arial"/>
          <w:sz w:val="32"/>
          <w:szCs w:val="32"/>
        </w:rPr>
        <w:t xml:space="preserve">ost </w:t>
      </w:r>
      <w:r w:rsidR="00F70C3E" w:rsidRPr="00F70C3E">
        <w:rPr>
          <w:rFonts w:ascii="Arial" w:hAnsi="Arial" w:cs="Arial"/>
          <w:sz w:val="32"/>
          <w:szCs w:val="32"/>
        </w:rPr>
        <w:t>b</w:t>
      </w:r>
      <w:r w:rsidRPr="00F70C3E">
        <w:rPr>
          <w:rFonts w:ascii="Arial" w:hAnsi="Arial" w:cs="Arial"/>
          <w:sz w:val="32"/>
          <w:szCs w:val="32"/>
        </w:rPr>
        <w:t xml:space="preserve">asic </w:t>
      </w:r>
      <w:r w:rsidR="00F70C3E" w:rsidRPr="00F70C3E">
        <w:rPr>
          <w:rFonts w:ascii="Arial" w:hAnsi="Arial" w:cs="Arial"/>
          <w:sz w:val="32"/>
          <w:szCs w:val="32"/>
        </w:rPr>
        <w:t>o</w:t>
      </w:r>
      <w:r w:rsidRPr="00F70C3E">
        <w:rPr>
          <w:rFonts w:ascii="Arial" w:hAnsi="Arial" w:cs="Arial"/>
          <w:sz w:val="32"/>
          <w:szCs w:val="32"/>
        </w:rPr>
        <w:t xml:space="preserve">f </w:t>
      </w:r>
      <w:r w:rsidR="00F70C3E" w:rsidRPr="00F70C3E">
        <w:rPr>
          <w:rFonts w:ascii="Arial" w:hAnsi="Arial" w:cs="Arial"/>
          <w:sz w:val="32"/>
          <w:szCs w:val="32"/>
        </w:rPr>
        <w:t>c</w:t>
      </w:r>
      <w:r w:rsidRPr="00F70C3E">
        <w:rPr>
          <w:rFonts w:ascii="Arial" w:hAnsi="Arial" w:cs="Arial"/>
          <w:sz w:val="32"/>
          <w:szCs w:val="32"/>
        </w:rPr>
        <w:t xml:space="preserve">overage </w:t>
      </w:r>
      <w:r w:rsidR="00F70C3E" w:rsidRPr="00F70C3E">
        <w:rPr>
          <w:rFonts w:ascii="Arial" w:hAnsi="Arial" w:cs="Arial"/>
          <w:sz w:val="32"/>
          <w:szCs w:val="32"/>
        </w:rPr>
        <w:t>a</w:t>
      </w:r>
      <w:r w:rsidRPr="00F70C3E">
        <w:rPr>
          <w:rFonts w:ascii="Arial" w:hAnsi="Arial" w:cs="Arial"/>
          <w:sz w:val="32"/>
          <w:szCs w:val="32"/>
        </w:rPr>
        <w:t xml:space="preserve">spects </w:t>
      </w:r>
      <w:r w:rsidR="00F70C3E" w:rsidRPr="00F70C3E">
        <w:rPr>
          <w:rFonts w:ascii="Arial" w:hAnsi="Arial" w:cs="Arial"/>
          <w:sz w:val="32"/>
          <w:szCs w:val="32"/>
        </w:rPr>
        <w:t>w</w:t>
      </w:r>
      <w:r w:rsidRPr="00F70C3E">
        <w:rPr>
          <w:rFonts w:ascii="Arial" w:hAnsi="Arial" w:cs="Arial"/>
          <w:sz w:val="32"/>
          <w:szCs w:val="32"/>
        </w:rPr>
        <w:t xml:space="preserve">e </w:t>
      </w:r>
      <w:r w:rsidR="00F70C3E" w:rsidRPr="00F70C3E">
        <w:rPr>
          <w:rFonts w:ascii="Arial" w:hAnsi="Arial" w:cs="Arial"/>
          <w:sz w:val="32"/>
          <w:szCs w:val="32"/>
        </w:rPr>
        <w:t>s</w:t>
      </w:r>
      <w:r w:rsidRPr="00F70C3E">
        <w:rPr>
          <w:rFonts w:ascii="Arial" w:hAnsi="Arial" w:cs="Arial"/>
          <w:sz w:val="32"/>
          <w:szCs w:val="32"/>
        </w:rPr>
        <w:t xml:space="preserve">hould </w:t>
      </w:r>
      <w:r w:rsidR="00F70C3E" w:rsidRPr="00F70C3E">
        <w:rPr>
          <w:rFonts w:ascii="Arial" w:hAnsi="Arial" w:cs="Arial"/>
          <w:sz w:val="32"/>
          <w:szCs w:val="32"/>
        </w:rPr>
        <w:t>h</w:t>
      </w:r>
      <w:r w:rsidRPr="00F70C3E">
        <w:rPr>
          <w:rFonts w:ascii="Arial" w:hAnsi="Arial" w:cs="Arial"/>
          <w:sz w:val="32"/>
          <w:szCs w:val="32"/>
        </w:rPr>
        <w:t>ave</w:t>
      </w:r>
      <w:r w:rsidR="004F361B">
        <w:rPr>
          <w:rFonts w:ascii="Arial" w:hAnsi="Arial" w:cs="Arial"/>
          <w:sz w:val="32"/>
          <w:szCs w:val="32"/>
        </w:rPr>
        <w:t xml:space="preserve"> and understand</w:t>
      </w:r>
      <w:r w:rsidR="00F70C3E" w:rsidRPr="00F70C3E">
        <w:rPr>
          <w:rFonts w:ascii="Arial" w:hAnsi="Arial" w:cs="Arial"/>
          <w:sz w:val="32"/>
          <w:szCs w:val="32"/>
        </w:rPr>
        <w:t>.</w:t>
      </w:r>
      <w:r w:rsidRPr="00F70C3E">
        <w:rPr>
          <w:rFonts w:ascii="Arial" w:hAnsi="Arial" w:cs="Arial"/>
          <w:sz w:val="32"/>
          <w:szCs w:val="32"/>
        </w:rPr>
        <w:t>)</w:t>
      </w:r>
    </w:p>
    <w:p w14:paraId="703F5F2D" w14:textId="77777777" w:rsidR="00F70C3E" w:rsidRDefault="00F70C3E" w:rsidP="00EA5F9E">
      <w:pPr>
        <w:tabs>
          <w:tab w:val="left" w:leader="underscore" w:pos="9270"/>
        </w:tabs>
        <w:spacing w:after="240"/>
        <w:rPr>
          <w:rFonts w:ascii="Arial" w:hAnsi="Arial" w:cs="Arial"/>
          <w:sz w:val="16"/>
          <w:szCs w:val="16"/>
        </w:rPr>
      </w:pPr>
      <w:r w:rsidRPr="00F70C3E">
        <w:rPr>
          <w:rFonts w:ascii="Arial" w:hAnsi="Arial" w:cs="Arial"/>
          <w:sz w:val="16"/>
          <w:szCs w:val="16"/>
        </w:rPr>
        <w:tab/>
      </w:r>
      <w:r w:rsidRPr="00F70C3E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8558"/>
      </w:tblGrid>
      <w:tr w:rsidR="00AA7B45" w14:paraId="05CB11CB" w14:textId="77777777" w:rsidTr="00AA7B45">
        <w:tc>
          <w:tcPr>
            <w:tcW w:w="828" w:type="dxa"/>
          </w:tcPr>
          <w:p w14:paraId="4A3321B5" w14:textId="77777777" w:rsidR="00AA7B45" w:rsidRDefault="00000000" w:rsidP="00EA5F9E">
            <w:pPr>
              <w:tabs>
                <w:tab w:val="left" w:leader="underscore" w:pos="927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ZapfDingbats" w:hAnsi="ZapfDingbats" w:cs="Times New Roman"/>
                  <w:sz w:val="40"/>
                  <w:szCs w:val="32"/>
                </w:rPr>
                <w:id w:val="-9767667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AA7B45" w:rsidRPr="00EA5F9E">
                  <w:rPr>
                    <w:rFonts w:ascii="MS Gothic" w:eastAsia="MS Gothic" w:hAnsi="ZapfDingbats" w:cs="Times New Roman" w:hint="eastAsia"/>
                    <w:sz w:val="40"/>
                    <w:szCs w:val="32"/>
                  </w:rPr>
                  <w:t>☐</w:t>
                </w:r>
              </w:sdtContent>
            </w:sdt>
          </w:p>
        </w:tc>
        <w:tc>
          <w:tcPr>
            <w:tcW w:w="8748" w:type="dxa"/>
          </w:tcPr>
          <w:p w14:paraId="26A0E702" w14:textId="108C1989" w:rsidR="00AA7B45" w:rsidRDefault="00586202" w:rsidP="00564F3D">
            <w:pPr>
              <w:tabs>
                <w:tab w:val="left" w:leader="underscore" w:pos="9270"/>
              </w:tabs>
              <w:spacing w:after="240" w:line="3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F</w:t>
            </w:r>
            <w:r w:rsidR="00327C55">
              <w:rPr>
                <w:rFonts w:ascii="Arial" w:hAnsi="Arial" w:cs="Arial"/>
              </w:rPr>
              <w:t xml:space="preserve">ew Fiduciary Liability insurers cover “benefits due”, unless this amount is part of an overall </w:t>
            </w:r>
            <w:r w:rsidR="0052743A">
              <w:rPr>
                <w:rFonts w:ascii="Arial" w:hAnsi="Arial" w:cs="Arial"/>
              </w:rPr>
              <w:t>s</w:t>
            </w:r>
            <w:r w:rsidR="00327C55">
              <w:rPr>
                <w:rFonts w:ascii="Arial" w:hAnsi="Arial" w:cs="Arial"/>
              </w:rPr>
              <w:t>ettlement</w:t>
            </w:r>
            <w:r w:rsidR="0052743A">
              <w:rPr>
                <w:rFonts w:ascii="Arial" w:hAnsi="Arial" w:cs="Arial"/>
              </w:rPr>
              <w:t xml:space="preserve"> agreement</w:t>
            </w:r>
            <w:r w:rsidR="00327C55">
              <w:rPr>
                <w:rFonts w:ascii="Arial" w:hAnsi="Arial" w:cs="Arial"/>
              </w:rPr>
              <w:t xml:space="preserve">.  We need to determine if </w:t>
            </w:r>
            <w:r w:rsidR="0052743A">
              <w:rPr>
                <w:rFonts w:ascii="Arial" w:hAnsi="Arial" w:cs="Arial"/>
              </w:rPr>
              <w:t>coverage exists for</w:t>
            </w:r>
            <w:r w:rsidR="00327C55">
              <w:rPr>
                <w:rFonts w:ascii="Arial" w:hAnsi="Arial" w:cs="Arial"/>
              </w:rPr>
              <w:t xml:space="preserve"> “benefits due”</w:t>
            </w:r>
            <w:r w:rsidR="0052743A">
              <w:rPr>
                <w:rFonts w:ascii="Arial" w:hAnsi="Arial" w:cs="Arial"/>
              </w:rPr>
              <w:t xml:space="preserve"> (check policy exclusions)</w:t>
            </w:r>
            <w:r w:rsidR="00327C55">
              <w:rPr>
                <w:rFonts w:ascii="Arial" w:hAnsi="Arial" w:cs="Arial"/>
              </w:rPr>
              <w:t>, and emphasize this point, if coverage exists, as this is a strong feature of any Fiduciary Liability policy</w:t>
            </w:r>
            <w:r w:rsidR="00564F3D">
              <w:rPr>
                <w:rFonts w:ascii="Arial" w:hAnsi="Arial" w:cs="Arial"/>
              </w:rPr>
              <w:t>, although it will be unusual</w:t>
            </w:r>
            <w:r w:rsidR="00327C55">
              <w:rPr>
                <w:rFonts w:ascii="Arial" w:hAnsi="Arial" w:cs="Arial"/>
              </w:rPr>
              <w:t>;</w:t>
            </w:r>
          </w:p>
        </w:tc>
      </w:tr>
      <w:tr w:rsidR="00AA7B45" w14:paraId="6945CC0A" w14:textId="77777777" w:rsidTr="00AA7B45">
        <w:tc>
          <w:tcPr>
            <w:tcW w:w="828" w:type="dxa"/>
          </w:tcPr>
          <w:p w14:paraId="5A7658F5" w14:textId="77777777" w:rsidR="00AA7B45" w:rsidRDefault="00000000" w:rsidP="00EA5F9E">
            <w:pPr>
              <w:tabs>
                <w:tab w:val="left" w:leader="underscore" w:pos="927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ZapfDingbats" w:hAnsi="ZapfDingbats" w:cs="Times New Roman"/>
                  <w:sz w:val="40"/>
                  <w:szCs w:val="32"/>
                </w:rPr>
                <w:id w:val="-12886569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AA7B45" w:rsidRPr="00EA5F9E">
                  <w:rPr>
                    <w:rFonts w:ascii="MS Gothic" w:eastAsia="MS Gothic" w:hAnsi="ZapfDingbats" w:cs="Times New Roman" w:hint="eastAsia"/>
                    <w:sz w:val="40"/>
                    <w:szCs w:val="32"/>
                  </w:rPr>
                  <w:t>☐</w:t>
                </w:r>
              </w:sdtContent>
            </w:sdt>
          </w:p>
        </w:tc>
        <w:tc>
          <w:tcPr>
            <w:tcW w:w="8748" w:type="dxa"/>
          </w:tcPr>
          <w:p w14:paraId="093FA266" w14:textId="58781684" w:rsidR="00AA7B45" w:rsidRDefault="00327C55" w:rsidP="00BC625A">
            <w:pPr>
              <w:tabs>
                <w:tab w:val="left" w:leader="underscore" w:pos="9270"/>
              </w:tabs>
              <w:spacing w:after="240" w:line="3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Relatively newly available enhancement endorsements from several insurers include:  IRS Section 4975 civil money penalties; Affordable Care Act</w:t>
            </w:r>
            <w:r w:rsidR="00BC625A">
              <w:rPr>
                <w:rFonts w:ascii="Arial" w:hAnsi="Arial" w:cs="Arial"/>
              </w:rPr>
              <w:t xml:space="preserve"> (ACA)</w:t>
            </w:r>
            <w:r>
              <w:rPr>
                <w:rFonts w:ascii="Arial" w:hAnsi="Arial" w:cs="Arial"/>
              </w:rPr>
              <w:t xml:space="preserve"> </w:t>
            </w:r>
            <w:r w:rsidR="00B8344B">
              <w:rPr>
                <w:rFonts w:ascii="Arial" w:hAnsi="Arial" w:cs="Arial"/>
              </w:rPr>
              <w:t>fines and penalties</w:t>
            </w:r>
            <w:r>
              <w:rPr>
                <w:rFonts w:ascii="Arial" w:hAnsi="Arial" w:cs="Arial"/>
              </w:rPr>
              <w:t xml:space="preserve">; and even some specific ACA </w:t>
            </w:r>
            <w:r w:rsidR="00B8344B">
              <w:rPr>
                <w:rFonts w:ascii="Arial" w:hAnsi="Arial" w:cs="Arial"/>
              </w:rPr>
              <w:t xml:space="preserve">(liability) </w:t>
            </w:r>
            <w:r>
              <w:rPr>
                <w:rFonts w:ascii="Arial" w:hAnsi="Arial" w:cs="Arial"/>
              </w:rPr>
              <w:t xml:space="preserve">coverage endorsements.  </w:t>
            </w:r>
            <w:r w:rsidR="00BC625A">
              <w:rPr>
                <w:rFonts w:ascii="Arial" w:hAnsi="Arial" w:cs="Arial"/>
              </w:rPr>
              <w:t>Having some form of affirmative coverage available for ACA exposures is important</w:t>
            </w:r>
            <w:r w:rsidR="003C5F79">
              <w:rPr>
                <w:rFonts w:ascii="Arial" w:hAnsi="Arial" w:cs="Arial"/>
              </w:rPr>
              <w:t>, for employers with 50 or more employees</w:t>
            </w:r>
            <w:r w:rsidR="00586202">
              <w:rPr>
                <w:rFonts w:ascii="Arial" w:hAnsi="Arial" w:cs="Arial"/>
              </w:rPr>
              <w:t>, as of 1/1/2021</w:t>
            </w:r>
            <w:r w:rsidR="00BC625A">
              <w:rPr>
                <w:rFonts w:ascii="Arial" w:hAnsi="Arial" w:cs="Arial"/>
              </w:rPr>
              <w:t>;</w:t>
            </w:r>
          </w:p>
        </w:tc>
      </w:tr>
      <w:tr w:rsidR="00AA7B45" w14:paraId="5880CFDE" w14:textId="77777777" w:rsidTr="00AA7B45">
        <w:tc>
          <w:tcPr>
            <w:tcW w:w="828" w:type="dxa"/>
          </w:tcPr>
          <w:p w14:paraId="35B1832F" w14:textId="77777777" w:rsidR="00AA7B45" w:rsidRDefault="00000000" w:rsidP="00EA5F9E">
            <w:pPr>
              <w:tabs>
                <w:tab w:val="left" w:leader="underscore" w:pos="927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ZapfDingbats" w:hAnsi="ZapfDingbats" w:cs="Times New Roman"/>
                  <w:sz w:val="40"/>
                  <w:szCs w:val="32"/>
                </w:rPr>
                <w:id w:val="-15794368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AA7B45" w:rsidRPr="00EA5F9E">
                  <w:rPr>
                    <w:rFonts w:ascii="MS Gothic" w:eastAsia="MS Gothic" w:hAnsi="ZapfDingbats" w:cs="Times New Roman" w:hint="eastAsia"/>
                    <w:sz w:val="40"/>
                    <w:szCs w:val="32"/>
                  </w:rPr>
                  <w:t>☐</w:t>
                </w:r>
              </w:sdtContent>
            </w:sdt>
          </w:p>
        </w:tc>
        <w:tc>
          <w:tcPr>
            <w:tcW w:w="8748" w:type="dxa"/>
          </w:tcPr>
          <w:p w14:paraId="76027CF6" w14:textId="595FBE8B" w:rsidR="00AA7B45" w:rsidRDefault="00327C55" w:rsidP="00BC625A">
            <w:pPr>
              <w:tabs>
                <w:tab w:val="left" w:leader="underscore" w:pos="9270"/>
              </w:tabs>
              <w:spacing w:after="240" w:line="3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 HIPAA Civil Money Penalties</w:t>
            </w:r>
            <w:r w:rsidR="00E21880">
              <w:rPr>
                <w:rFonts w:ascii="Arial" w:hAnsi="Arial" w:cs="Arial"/>
              </w:rPr>
              <w:t xml:space="preserve"> </w:t>
            </w:r>
            <w:r w:rsidR="004F361B">
              <w:rPr>
                <w:rFonts w:ascii="Arial" w:hAnsi="Arial" w:cs="Arial"/>
              </w:rPr>
              <w:t xml:space="preserve">coverage </w:t>
            </w:r>
            <w:r w:rsidR="00E21880">
              <w:rPr>
                <w:rFonts w:ascii="Arial" w:hAnsi="Arial" w:cs="Arial"/>
              </w:rPr>
              <w:t>(sub-limit</w:t>
            </w:r>
            <w:r w:rsidR="00BC625A">
              <w:rPr>
                <w:rFonts w:ascii="Arial" w:hAnsi="Arial" w:cs="Arial"/>
              </w:rPr>
              <w:t>, generally, although can be for full policy limit</w:t>
            </w:r>
            <w:r w:rsidR="00E2188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endorsement is a</w:t>
            </w:r>
            <w:r w:rsidR="00E21880">
              <w:rPr>
                <w:rFonts w:ascii="Arial" w:hAnsi="Arial" w:cs="Arial"/>
              </w:rPr>
              <w:t>n increasingly important</w:t>
            </w:r>
            <w:r>
              <w:rPr>
                <w:rFonts w:ascii="Arial" w:hAnsi="Arial" w:cs="Arial"/>
              </w:rPr>
              <w:t xml:space="preserve"> extension – we need to include it</w:t>
            </w:r>
            <w:r w:rsidR="00B8344B">
              <w:rPr>
                <w:rFonts w:ascii="Arial" w:hAnsi="Arial" w:cs="Arial"/>
              </w:rPr>
              <w:t>, and likely, with a limit not less than $100,000, even for smaller employers</w:t>
            </w:r>
            <w:r w:rsidR="00AA7B45" w:rsidRPr="008F618A">
              <w:rPr>
                <w:rFonts w:ascii="Arial" w:hAnsi="Arial" w:cs="Arial"/>
              </w:rPr>
              <w:t>;</w:t>
            </w:r>
          </w:p>
        </w:tc>
      </w:tr>
      <w:tr w:rsidR="00AA7B45" w14:paraId="374265E7" w14:textId="77777777" w:rsidTr="00AA7B45">
        <w:tc>
          <w:tcPr>
            <w:tcW w:w="828" w:type="dxa"/>
          </w:tcPr>
          <w:p w14:paraId="60B36411" w14:textId="77777777" w:rsidR="00AA7B45" w:rsidRDefault="00000000" w:rsidP="00EA5F9E">
            <w:pPr>
              <w:tabs>
                <w:tab w:val="left" w:leader="underscore" w:pos="927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ZapfDingbats" w:hAnsi="ZapfDingbats" w:cs="Times New Roman"/>
                  <w:sz w:val="40"/>
                  <w:szCs w:val="32"/>
                </w:rPr>
                <w:id w:val="-1561515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AA7B45" w:rsidRPr="00EA5F9E">
                  <w:rPr>
                    <w:rFonts w:ascii="MS Gothic" w:eastAsia="MS Gothic" w:hAnsi="ZapfDingbats" w:cs="Times New Roman" w:hint="eastAsia"/>
                    <w:sz w:val="40"/>
                    <w:szCs w:val="32"/>
                  </w:rPr>
                  <w:t>☐</w:t>
                </w:r>
              </w:sdtContent>
            </w:sdt>
          </w:p>
        </w:tc>
        <w:tc>
          <w:tcPr>
            <w:tcW w:w="8748" w:type="dxa"/>
          </w:tcPr>
          <w:p w14:paraId="5D12DA02" w14:textId="77777777" w:rsidR="00AA7B45" w:rsidRDefault="00327C55" w:rsidP="00BC625A">
            <w:pPr>
              <w:tabs>
                <w:tab w:val="left" w:leader="underscore" w:pos="9270"/>
              </w:tabs>
              <w:spacing w:after="240" w:line="3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An endorsement which extends coverage </w:t>
            </w:r>
            <w:r w:rsidR="00BC625A">
              <w:rPr>
                <w:rFonts w:ascii="Arial" w:hAnsi="Arial" w:cs="Arial"/>
              </w:rPr>
              <w:t>in situations involving</w:t>
            </w:r>
            <w:r>
              <w:rPr>
                <w:rFonts w:ascii="Arial" w:hAnsi="Arial" w:cs="Arial"/>
              </w:rPr>
              <w:t xml:space="preserve"> fully or partially self-funded employee benefit plans is </w:t>
            </w:r>
            <w:r w:rsidR="00BC625A">
              <w:rPr>
                <w:rFonts w:ascii="Arial" w:hAnsi="Arial" w:cs="Arial"/>
              </w:rPr>
              <w:t>called “Managed Care Liability”. This is</w:t>
            </w:r>
            <w:r>
              <w:rPr>
                <w:rFonts w:ascii="Arial" w:hAnsi="Arial" w:cs="Arial"/>
              </w:rPr>
              <w:t xml:space="preserve"> important, if that situation exists.  (Chubb calls theirs “Plan Purchaser Coverage”)</w:t>
            </w:r>
            <w:r w:rsidR="00AA7B45" w:rsidRPr="008F618A">
              <w:rPr>
                <w:rFonts w:ascii="Arial" w:hAnsi="Arial" w:cs="Arial"/>
              </w:rPr>
              <w:t>;</w:t>
            </w:r>
          </w:p>
        </w:tc>
      </w:tr>
      <w:tr w:rsidR="00AA7B45" w14:paraId="197AF498" w14:textId="77777777" w:rsidTr="00AA7B45">
        <w:tc>
          <w:tcPr>
            <w:tcW w:w="828" w:type="dxa"/>
          </w:tcPr>
          <w:p w14:paraId="094C2D55" w14:textId="590DE26A" w:rsidR="00AA7B45" w:rsidRDefault="00000000" w:rsidP="00EA5F9E">
            <w:pPr>
              <w:tabs>
                <w:tab w:val="left" w:leader="underscore" w:pos="927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ZapfDingbats" w:hAnsi="ZapfDingbats" w:cs="Times New Roman"/>
                  <w:sz w:val="40"/>
                  <w:szCs w:val="32"/>
                </w:rPr>
                <w:id w:val="2300537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586202">
                  <w:rPr>
                    <w:rFonts w:ascii="Meiryo" w:eastAsia="Meiryo" w:hAnsi="Meiryo" w:cs="Times New Roman" w:hint="eastAsia"/>
                    <w:sz w:val="40"/>
                    <w:szCs w:val="32"/>
                  </w:rPr>
                  <w:t>☐</w:t>
                </w:r>
              </w:sdtContent>
            </w:sdt>
          </w:p>
        </w:tc>
        <w:tc>
          <w:tcPr>
            <w:tcW w:w="8748" w:type="dxa"/>
          </w:tcPr>
          <w:p w14:paraId="4A73C442" w14:textId="50736ABF" w:rsidR="00AA7B45" w:rsidRDefault="00AA7B45" w:rsidP="00AA7B45">
            <w:pPr>
              <w:spacing w:after="24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27C55">
              <w:rPr>
                <w:rFonts w:ascii="Arial" w:hAnsi="Arial" w:cs="Arial"/>
              </w:rPr>
              <w:t>We must be able to distinguish between federally mandated insurance (the Employee Dishonesty coverage mandated by ERISA); Employee Benefits Liability (</w:t>
            </w:r>
            <w:r w:rsidR="00B8344B">
              <w:rPr>
                <w:rFonts w:ascii="Arial" w:hAnsi="Arial" w:cs="Arial"/>
              </w:rPr>
              <w:t xml:space="preserve">EBL - </w:t>
            </w:r>
            <w:r w:rsidR="00327C55">
              <w:rPr>
                <w:rFonts w:ascii="Arial" w:hAnsi="Arial" w:cs="Arial"/>
              </w:rPr>
              <w:t>a simplistic endorsement generally provided under the CGL insurance, for little or no premium charge)</w:t>
            </w:r>
            <w:r w:rsidR="003C5F79">
              <w:rPr>
                <w:rFonts w:ascii="Arial" w:hAnsi="Arial" w:cs="Arial"/>
              </w:rPr>
              <w:t>;</w:t>
            </w:r>
            <w:r w:rsidR="00327C55">
              <w:rPr>
                <w:rFonts w:ascii="Arial" w:hAnsi="Arial" w:cs="Arial"/>
              </w:rPr>
              <w:t xml:space="preserve"> and Fiduciary Liability insurance, which </w:t>
            </w:r>
            <w:r w:rsidR="00327C55">
              <w:rPr>
                <w:rFonts w:ascii="Arial" w:hAnsi="Arial" w:cs="Arial"/>
                <w:u w:val="single"/>
              </w:rPr>
              <w:t>includes</w:t>
            </w:r>
            <w:r w:rsidR="00327C55">
              <w:rPr>
                <w:rFonts w:ascii="Arial" w:hAnsi="Arial" w:cs="Arial"/>
              </w:rPr>
              <w:t xml:space="preserve"> the coverage afforded under the EB</w:t>
            </w:r>
            <w:r w:rsidR="00B8344B">
              <w:rPr>
                <w:rFonts w:ascii="Arial" w:hAnsi="Arial" w:cs="Arial"/>
              </w:rPr>
              <w:t>L</w:t>
            </w:r>
            <w:r w:rsidR="00327C55">
              <w:rPr>
                <w:rFonts w:ascii="Arial" w:hAnsi="Arial" w:cs="Arial"/>
              </w:rPr>
              <w:t xml:space="preserve"> endorsement</w:t>
            </w:r>
            <w:r w:rsidR="00B8344B">
              <w:rPr>
                <w:rFonts w:ascii="Arial" w:hAnsi="Arial" w:cs="Arial"/>
              </w:rPr>
              <w:t xml:space="preserve"> to CGL coverage;</w:t>
            </w:r>
            <w:r w:rsidR="00327C55">
              <w:rPr>
                <w:rFonts w:ascii="Arial" w:hAnsi="Arial" w:cs="Arial"/>
              </w:rPr>
              <w:t xml:space="preserve"> and overall, provides broad protection fo</w:t>
            </w:r>
            <w:r w:rsidR="007F7C57">
              <w:rPr>
                <w:rFonts w:ascii="Arial" w:hAnsi="Arial" w:cs="Arial"/>
              </w:rPr>
              <w:t>r</w:t>
            </w:r>
            <w:r w:rsidR="00327C55">
              <w:rPr>
                <w:rFonts w:ascii="Arial" w:hAnsi="Arial" w:cs="Arial"/>
              </w:rPr>
              <w:t xml:space="preserve"> </w:t>
            </w:r>
            <w:r w:rsidR="00BC625A">
              <w:rPr>
                <w:rFonts w:ascii="Arial" w:hAnsi="Arial" w:cs="Arial"/>
              </w:rPr>
              <w:t>the</w:t>
            </w:r>
            <w:r w:rsidR="00327C55">
              <w:rPr>
                <w:rFonts w:ascii="Arial" w:hAnsi="Arial" w:cs="Arial"/>
              </w:rPr>
              <w:t xml:space="preserve"> personal liability exposure of employee benefit plan decision makers</w:t>
            </w:r>
            <w:r w:rsidR="004F361B">
              <w:rPr>
                <w:rFonts w:ascii="Arial" w:hAnsi="Arial" w:cs="Arial"/>
              </w:rPr>
              <w:t xml:space="preserve">, </w:t>
            </w:r>
            <w:r w:rsidR="003C5F79">
              <w:rPr>
                <w:rFonts w:ascii="Arial" w:hAnsi="Arial" w:cs="Arial"/>
              </w:rPr>
              <w:t>(</w:t>
            </w:r>
            <w:r w:rsidR="004F361B">
              <w:rPr>
                <w:rFonts w:ascii="Arial" w:hAnsi="Arial" w:cs="Arial"/>
              </w:rPr>
              <w:t>“ERISA Liability”</w:t>
            </w:r>
            <w:r w:rsidR="003C5F79">
              <w:rPr>
                <w:rFonts w:ascii="Arial" w:hAnsi="Arial" w:cs="Arial"/>
              </w:rPr>
              <w:t>)</w:t>
            </w:r>
            <w:r w:rsidR="004F361B">
              <w:rPr>
                <w:rFonts w:ascii="Arial" w:hAnsi="Arial" w:cs="Arial"/>
              </w:rPr>
              <w:t xml:space="preserve"> insurance</w:t>
            </w:r>
            <w:r w:rsidR="00382F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       </w:t>
            </w:r>
          </w:p>
          <w:p w14:paraId="76D2F9F3" w14:textId="16CBD3F2" w:rsidR="00586202" w:rsidRPr="00586202" w:rsidRDefault="00586202" w:rsidP="00586202">
            <w:pPr>
              <w:tabs>
                <w:tab w:val="left" w:pos="6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563D0286" w14:textId="491DBB4E" w:rsidR="00AA7B45" w:rsidRDefault="00586202" w:rsidP="0052743A">
            <w:pPr>
              <w:pStyle w:val="ListParagraph"/>
              <w:tabs>
                <w:tab w:val="left" w:pos="6120"/>
                <w:tab w:val="left" w:pos="6990"/>
              </w:tabs>
              <w:spacing w:after="240" w:line="320" w:lineRule="atLeast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2743A">
              <w:rPr>
                <w:rFonts w:ascii="Arial" w:hAnsi="Arial" w:cs="Arial"/>
              </w:rPr>
              <w:tab/>
            </w:r>
          </w:p>
          <w:p w14:paraId="5D6E33B6" w14:textId="67C2B770" w:rsidR="003C5F79" w:rsidRPr="003C5F79" w:rsidRDefault="003C5F79" w:rsidP="003C5F79">
            <w:pPr>
              <w:tabs>
                <w:tab w:val="left" w:pos="6585"/>
              </w:tabs>
            </w:pPr>
            <w:r>
              <w:tab/>
            </w:r>
          </w:p>
          <w:p w14:paraId="7D96B3C1" w14:textId="1EFD2095" w:rsidR="00AA7B45" w:rsidRPr="00AA7B45" w:rsidRDefault="004F361B" w:rsidP="004F361B">
            <w:pPr>
              <w:pStyle w:val="ListParagraph"/>
              <w:tabs>
                <w:tab w:val="left" w:pos="6480"/>
              </w:tabs>
              <w:spacing w:after="240" w:line="320" w:lineRule="atLeast"/>
              <w:ind w:left="75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1D0619E7" w14:textId="77777777" w:rsidR="00021E3B" w:rsidRPr="00AA7B45" w:rsidRDefault="00021E3B" w:rsidP="00AA7B45">
      <w:pPr>
        <w:spacing w:after="240" w:line="300" w:lineRule="atLeast"/>
        <w:rPr>
          <w:rFonts w:ascii="Arial" w:hAnsi="Arial" w:cs="Arial"/>
          <w:sz w:val="24"/>
          <w:szCs w:val="24"/>
        </w:rPr>
      </w:pPr>
    </w:p>
    <w:sectPr w:rsidR="00021E3B" w:rsidRPr="00AA7B4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A763" w14:textId="77777777" w:rsidR="00E046C8" w:rsidRDefault="00E046C8" w:rsidP="00CA45DF">
      <w:pPr>
        <w:spacing w:after="0" w:line="240" w:lineRule="auto"/>
      </w:pPr>
      <w:r>
        <w:separator/>
      </w:r>
    </w:p>
  </w:endnote>
  <w:endnote w:type="continuationSeparator" w:id="0">
    <w:p w14:paraId="03DE5B37" w14:textId="77777777" w:rsidR="00E046C8" w:rsidRDefault="00E046C8" w:rsidP="00CA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ZapfDingbats"/>
    <w:charset w:val="00"/>
    <w:family w:val="auto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221" w14:textId="60D377B1" w:rsidR="00CA45DF" w:rsidRPr="00CA45DF" w:rsidRDefault="007F7C57" w:rsidP="00CA45DF">
    <w:pPr>
      <w:tabs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Fiduciary</w:t>
    </w:r>
    <w:r w:rsidR="00E21880">
      <w:rPr>
        <w:rFonts w:ascii="Arial" w:hAnsi="Arial" w:cs="Arial"/>
        <w:sz w:val="18"/>
        <w:szCs w:val="18"/>
      </w:rPr>
      <w:t xml:space="preserve"> MAC</w:t>
    </w:r>
    <w:r w:rsidR="00BC625A">
      <w:rPr>
        <w:rFonts w:ascii="Arial" w:hAnsi="Arial" w:cs="Arial"/>
        <w:sz w:val="18"/>
        <w:szCs w:val="18"/>
      </w:rPr>
      <w:t xml:space="preserve">RO </w:t>
    </w:r>
    <w:r w:rsidR="00B8344B">
      <w:rPr>
        <w:rFonts w:ascii="Arial" w:hAnsi="Arial" w:cs="Arial"/>
        <w:sz w:val="18"/>
        <w:szCs w:val="18"/>
      </w:rPr>
      <w:t>Checklist</w:t>
    </w:r>
    <w:r w:rsidR="00BC625A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</w:t>
    </w:r>
    <w:r w:rsidR="0052743A">
      <w:rPr>
        <w:rFonts w:ascii="Arial" w:hAnsi="Arial" w:cs="Arial"/>
        <w:sz w:val="18"/>
        <w:szCs w:val="18"/>
      </w:rPr>
      <w:t>December 8, 2021</w:t>
    </w:r>
    <w:r w:rsidR="00BC625A">
      <w:rPr>
        <w:rFonts w:ascii="Arial" w:hAnsi="Arial" w:cs="Arial"/>
        <w:sz w:val="18"/>
        <w:szCs w:val="18"/>
      </w:rPr>
      <w:t xml:space="preserve">                 </w:t>
    </w:r>
    <w:r w:rsidR="00E21880">
      <w:rPr>
        <w:rFonts w:ascii="Arial" w:hAnsi="Arial" w:cs="Arial"/>
        <w:sz w:val="18"/>
        <w:szCs w:val="18"/>
      </w:rPr>
      <w:tab/>
    </w:r>
    <w:r w:rsidR="00CA45DF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7EDA" w14:textId="77777777" w:rsidR="00E046C8" w:rsidRDefault="00E046C8" w:rsidP="00CA45DF">
      <w:pPr>
        <w:spacing w:after="0" w:line="240" w:lineRule="auto"/>
      </w:pPr>
      <w:r>
        <w:separator/>
      </w:r>
    </w:p>
  </w:footnote>
  <w:footnote w:type="continuationSeparator" w:id="0">
    <w:p w14:paraId="6E9E765B" w14:textId="77777777" w:rsidR="00E046C8" w:rsidRDefault="00E046C8" w:rsidP="00CA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BA7"/>
    <w:multiLevelType w:val="hybridMultilevel"/>
    <w:tmpl w:val="5E6AA642"/>
    <w:lvl w:ilvl="0" w:tplc="DB223A9E">
      <w:numFmt w:val="bullet"/>
      <w:lvlText w:val=""/>
      <w:lvlJc w:val="left"/>
      <w:pPr>
        <w:ind w:left="2520" w:hanging="360"/>
      </w:pPr>
      <w:rPr>
        <w:rFonts w:ascii="Symbol" w:hAnsi="Symbol" w:cs="Tahoma" w:hint="default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2A432F5"/>
    <w:multiLevelType w:val="hybridMultilevel"/>
    <w:tmpl w:val="BD362FC8"/>
    <w:lvl w:ilvl="0" w:tplc="05AAC5FA">
      <w:numFmt w:val="bullet"/>
      <w:lvlText w:val=""/>
      <w:lvlJc w:val="left"/>
      <w:pPr>
        <w:ind w:left="25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B24577B"/>
    <w:multiLevelType w:val="hybridMultilevel"/>
    <w:tmpl w:val="9E547964"/>
    <w:lvl w:ilvl="0" w:tplc="96769718">
      <w:numFmt w:val="bullet"/>
      <w:lvlText w:val=""/>
      <w:lvlJc w:val="left"/>
      <w:pPr>
        <w:ind w:left="2520" w:hanging="360"/>
      </w:pPr>
      <w:rPr>
        <w:rFonts w:ascii="Symbol" w:hAnsi="Symbol" w:cs="Tahoma" w:hint="default"/>
        <w:b w:val="0"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68418063">
    <w:abstractNumId w:val="1"/>
  </w:num>
  <w:num w:numId="2" w16cid:durableId="621692078">
    <w:abstractNumId w:val="0"/>
  </w:num>
  <w:num w:numId="3" w16cid:durableId="110535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3B"/>
    <w:rsid w:val="00012847"/>
    <w:rsid w:val="00021E3B"/>
    <w:rsid w:val="00062A33"/>
    <w:rsid w:val="000645AA"/>
    <w:rsid w:val="00072263"/>
    <w:rsid w:val="000B05DD"/>
    <w:rsid w:val="00133F32"/>
    <w:rsid w:val="002963F9"/>
    <w:rsid w:val="002E1192"/>
    <w:rsid w:val="00327C55"/>
    <w:rsid w:val="00340A0F"/>
    <w:rsid w:val="00382FC8"/>
    <w:rsid w:val="003A2342"/>
    <w:rsid w:val="003C5F79"/>
    <w:rsid w:val="003F6963"/>
    <w:rsid w:val="004806BB"/>
    <w:rsid w:val="004852EE"/>
    <w:rsid w:val="004B5FA5"/>
    <w:rsid w:val="004F361B"/>
    <w:rsid w:val="00506BE5"/>
    <w:rsid w:val="0051676B"/>
    <w:rsid w:val="0052743A"/>
    <w:rsid w:val="00564F3D"/>
    <w:rsid w:val="00582F6F"/>
    <w:rsid w:val="00586202"/>
    <w:rsid w:val="005D6B8B"/>
    <w:rsid w:val="005F48B6"/>
    <w:rsid w:val="006B138F"/>
    <w:rsid w:val="00703AB8"/>
    <w:rsid w:val="00716CED"/>
    <w:rsid w:val="007F7C57"/>
    <w:rsid w:val="00826B13"/>
    <w:rsid w:val="008F618A"/>
    <w:rsid w:val="00982A2B"/>
    <w:rsid w:val="00AA7B45"/>
    <w:rsid w:val="00B21481"/>
    <w:rsid w:val="00B24E8E"/>
    <w:rsid w:val="00B8344B"/>
    <w:rsid w:val="00BC625A"/>
    <w:rsid w:val="00C938DB"/>
    <w:rsid w:val="00CA45DF"/>
    <w:rsid w:val="00DF2FD2"/>
    <w:rsid w:val="00E046C8"/>
    <w:rsid w:val="00E21880"/>
    <w:rsid w:val="00E4173D"/>
    <w:rsid w:val="00EA5F9E"/>
    <w:rsid w:val="00EC6FD2"/>
    <w:rsid w:val="00F70C3E"/>
    <w:rsid w:val="00F82CA4"/>
    <w:rsid w:val="00F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5961"/>
  <w15:docId w15:val="{5A759AA8-60E7-400F-AF37-B4660D3F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5DF"/>
  </w:style>
  <w:style w:type="paragraph" w:styleId="Footer">
    <w:name w:val="footer"/>
    <w:basedOn w:val="Normal"/>
    <w:link w:val="FooterChar"/>
    <w:uiPriority w:val="99"/>
    <w:unhideWhenUsed/>
    <w:rsid w:val="00CA4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5DF"/>
  </w:style>
  <w:style w:type="table" w:styleId="TableGrid">
    <w:name w:val="Table Grid"/>
    <w:basedOn w:val="TableNormal"/>
    <w:uiPriority w:val="59"/>
    <w:rsid w:val="00AA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CBC7-C922-4160-81B8-E4E2799F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 Smith Lanier &amp; Co.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Dick</dc:creator>
  <cp:lastModifiedBy>Jamie Leslie</cp:lastModifiedBy>
  <cp:revision>2</cp:revision>
  <dcterms:created xsi:type="dcterms:W3CDTF">2022-10-05T18:37:00Z</dcterms:created>
  <dcterms:modified xsi:type="dcterms:W3CDTF">2022-10-05T18:37:00Z</dcterms:modified>
</cp:coreProperties>
</file>